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9CA4" w14:textId="77777777" w:rsidR="00D73330" w:rsidRDefault="00D73330"/>
    <w:p w14:paraId="3DE384FD" w14:textId="2F2C82B3" w:rsidR="000C0018" w:rsidRPr="0088135E" w:rsidRDefault="000C0018" w:rsidP="0077559E">
      <w:pPr>
        <w:pStyle w:val="Titre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88135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FIDH</w:t>
      </w:r>
    </w:p>
    <w:p w14:paraId="3DF714E1" w14:textId="5F623B63" w:rsidR="000C0018" w:rsidRPr="0088135E" w:rsidRDefault="000C0018" w:rsidP="0077559E">
      <w:pPr>
        <w:pStyle w:val="Corpsdetexte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8135E">
        <w:rPr>
          <w:rFonts w:ascii="Times New Roman" w:hAnsi="Times New Roman" w:cs="Times New Roman"/>
          <w:sz w:val="28"/>
          <w:szCs w:val="28"/>
          <w:lang w:val="en-US"/>
        </w:rPr>
        <w:t>Al Haq</w:t>
      </w:r>
    </w:p>
    <w:p w14:paraId="3F1F41D6" w14:textId="7528549F" w:rsidR="000C0018" w:rsidRPr="0088135E" w:rsidRDefault="000C0018" w:rsidP="0077559E">
      <w:pPr>
        <w:pStyle w:val="Corpsdetexte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8135E">
        <w:rPr>
          <w:rFonts w:ascii="Times New Roman" w:hAnsi="Times New Roman" w:cs="Times New Roman"/>
          <w:sz w:val="28"/>
          <w:szCs w:val="28"/>
          <w:lang w:val="en-US"/>
        </w:rPr>
        <w:t xml:space="preserve">Al </w:t>
      </w:r>
      <w:proofErr w:type="spellStart"/>
      <w:r w:rsidRPr="0088135E">
        <w:rPr>
          <w:rFonts w:ascii="Times New Roman" w:hAnsi="Times New Roman" w:cs="Times New Roman"/>
          <w:sz w:val="28"/>
          <w:szCs w:val="28"/>
          <w:lang w:val="en-US"/>
        </w:rPr>
        <w:t>Mezan</w:t>
      </w:r>
      <w:proofErr w:type="spellEnd"/>
    </w:p>
    <w:p w14:paraId="5E2509CE" w14:textId="593B10BF" w:rsidR="000C0018" w:rsidRPr="0088135E" w:rsidRDefault="000C0018" w:rsidP="0077559E">
      <w:pPr>
        <w:pStyle w:val="Corpsdetexte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8135E">
        <w:rPr>
          <w:rFonts w:ascii="Times New Roman" w:hAnsi="Times New Roman" w:cs="Times New Roman"/>
          <w:sz w:val="28"/>
          <w:szCs w:val="28"/>
          <w:lang w:val="en-US"/>
        </w:rPr>
        <w:t>PCHR</w:t>
      </w:r>
    </w:p>
    <w:p w14:paraId="13CDD977" w14:textId="78A49E89" w:rsidR="000C0018" w:rsidRPr="000C0018" w:rsidRDefault="000C0018" w:rsidP="0077559E">
      <w:pPr>
        <w:pStyle w:val="Corpsdetext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018">
        <w:rPr>
          <w:rFonts w:ascii="Times New Roman" w:hAnsi="Times New Roman" w:cs="Times New Roman"/>
          <w:sz w:val="28"/>
          <w:szCs w:val="28"/>
        </w:rPr>
        <w:t>LDH</w:t>
      </w:r>
    </w:p>
    <w:p w14:paraId="59E1BBB3" w14:textId="4854A750" w:rsidR="00D73330" w:rsidRPr="00B368B1" w:rsidRDefault="002C4D4A" w:rsidP="00B368B1">
      <w:pPr>
        <w:pStyle w:val="Titre"/>
        <w:rPr>
          <w:sz w:val="40"/>
          <w:szCs w:val="40"/>
        </w:rPr>
      </w:pPr>
      <w:r>
        <w:rPr>
          <w:sz w:val="40"/>
          <w:szCs w:val="40"/>
        </w:rPr>
        <w:t xml:space="preserve">Le ministre israélien </w:t>
      </w:r>
      <w:proofErr w:type="spellStart"/>
      <w:r w:rsidRPr="007B79C7">
        <w:rPr>
          <w:sz w:val="40"/>
          <w:szCs w:val="40"/>
        </w:rPr>
        <w:t>Bezalel</w:t>
      </w:r>
      <w:proofErr w:type="spellEnd"/>
      <w:r w:rsidRPr="007B79C7">
        <w:rPr>
          <w:sz w:val="40"/>
          <w:szCs w:val="40"/>
        </w:rPr>
        <w:t xml:space="preserve"> </w:t>
      </w:r>
      <w:proofErr w:type="spellStart"/>
      <w:r w:rsidRPr="007B79C7">
        <w:rPr>
          <w:sz w:val="40"/>
          <w:szCs w:val="40"/>
        </w:rPr>
        <w:t>Smotrich</w:t>
      </w:r>
      <w:proofErr w:type="spellEnd"/>
      <w:r w:rsidRPr="007B79C7">
        <w:rPr>
          <w:sz w:val="40"/>
          <w:szCs w:val="40"/>
        </w:rPr>
        <w:t xml:space="preserve"> </w:t>
      </w:r>
      <w:r w:rsidR="009A4FE0">
        <w:rPr>
          <w:sz w:val="40"/>
          <w:szCs w:val="40"/>
        </w:rPr>
        <w:t>annule sa visite à</w:t>
      </w:r>
      <w:r w:rsidRPr="007B79C7">
        <w:rPr>
          <w:sz w:val="40"/>
          <w:szCs w:val="40"/>
        </w:rPr>
        <w:t xml:space="preserve"> Paris : </w:t>
      </w:r>
      <w:r w:rsidR="007B79C7" w:rsidRPr="007B79C7">
        <w:rPr>
          <w:sz w:val="40"/>
          <w:szCs w:val="40"/>
        </w:rPr>
        <w:t xml:space="preserve">une occasion manquée pour la lutte contre l’impunité </w:t>
      </w:r>
    </w:p>
    <w:p w14:paraId="43EA9F2A" w14:textId="77777777" w:rsidR="00D73330" w:rsidRDefault="00D73330"/>
    <w:p w14:paraId="1AE8DFA2" w14:textId="603214E2" w:rsidR="00D73330" w:rsidRDefault="00000000" w:rsidP="00B368B1">
      <w:pPr>
        <w:jc w:val="both"/>
        <w:rPr>
          <w:b/>
          <w:bCs/>
        </w:rPr>
      </w:pPr>
      <w:r>
        <w:rPr>
          <w:b/>
          <w:bCs/>
        </w:rPr>
        <w:t xml:space="preserve">Alors que </w:t>
      </w:r>
      <w:r w:rsidR="0088135E">
        <w:rPr>
          <w:b/>
          <w:bCs/>
        </w:rPr>
        <w:t>la FIDH, Al</w:t>
      </w:r>
      <w:r w:rsidR="009A4FE0">
        <w:rPr>
          <w:b/>
          <w:bCs/>
        </w:rPr>
        <w:t>-</w:t>
      </w:r>
      <w:r w:rsidR="0088135E">
        <w:rPr>
          <w:b/>
          <w:bCs/>
        </w:rPr>
        <w:t xml:space="preserve">Haq, Al </w:t>
      </w:r>
      <w:proofErr w:type="spellStart"/>
      <w:r w:rsidR="0088135E">
        <w:rPr>
          <w:b/>
          <w:bCs/>
        </w:rPr>
        <w:t>Mezan</w:t>
      </w:r>
      <w:proofErr w:type="spellEnd"/>
      <w:r w:rsidR="0088135E">
        <w:rPr>
          <w:b/>
          <w:bCs/>
        </w:rPr>
        <w:t>, PCHR et la LDH</w:t>
      </w:r>
      <w:r>
        <w:rPr>
          <w:b/>
          <w:bCs/>
        </w:rPr>
        <w:t xml:space="preserve"> avaient préparé une plainte qui aurait été déposée </w:t>
      </w:r>
      <w:r w:rsidR="007B79C7">
        <w:rPr>
          <w:b/>
          <w:bCs/>
        </w:rPr>
        <w:t xml:space="preserve">dès </w:t>
      </w:r>
      <w:r>
        <w:rPr>
          <w:b/>
          <w:bCs/>
        </w:rPr>
        <w:t xml:space="preserve">son arrivée en France, où il était attendu pour </w:t>
      </w:r>
      <w:r w:rsidR="0088135E">
        <w:rPr>
          <w:b/>
          <w:bCs/>
        </w:rPr>
        <w:t>le</w:t>
      </w:r>
      <w:r>
        <w:rPr>
          <w:b/>
          <w:bCs/>
        </w:rPr>
        <w:t xml:space="preserve"> gala d’une association proche de l’extrême droite israélienne, le ministre des </w:t>
      </w:r>
      <w:r w:rsidR="00CE150E">
        <w:rPr>
          <w:b/>
          <w:bCs/>
        </w:rPr>
        <w:t>F</w:t>
      </w:r>
      <w:r>
        <w:rPr>
          <w:b/>
          <w:bCs/>
        </w:rPr>
        <w:t xml:space="preserve">inances israélien </w:t>
      </w:r>
      <w:proofErr w:type="spellStart"/>
      <w:r>
        <w:rPr>
          <w:b/>
          <w:bCs/>
        </w:rPr>
        <w:t>Bezalel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Smotrich</w:t>
      </w:r>
      <w:proofErr w:type="spellEnd"/>
      <w:r>
        <w:rPr>
          <w:b/>
          <w:bCs/>
        </w:rPr>
        <w:t xml:space="preserve"> </w:t>
      </w:r>
      <w:r w:rsidR="002C4D4A">
        <w:rPr>
          <w:b/>
          <w:bCs/>
        </w:rPr>
        <w:t>aurait</w:t>
      </w:r>
      <w:r>
        <w:rPr>
          <w:b/>
          <w:bCs/>
        </w:rPr>
        <w:t xml:space="preserve"> préféré annuler sa venue</w:t>
      </w:r>
      <w:r w:rsidR="002C4D4A">
        <w:rPr>
          <w:b/>
          <w:bCs/>
        </w:rPr>
        <w:t>, selon le Préfet de Paris, Laurent Nu</w:t>
      </w:r>
      <w:r w:rsidR="000C0018">
        <w:rPr>
          <w:b/>
          <w:bCs/>
        </w:rPr>
        <w:t>ñe</w:t>
      </w:r>
      <w:r w:rsidR="002C4D4A">
        <w:rPr>
          <w:b/>
          <w:bCs/>
        </w:rPr>
        <w:t>z</w:t>
      </w:r>
      <w:r>
        <w:rPr>
          <w:b/>
          <w:bCs/>
        </w:rPr>
        <w:t xml:space="preserve">. </w:t>
      </w:r>
      <w:r w:rsidR="0088135E">
        <w:rPr>
          <w:b/>
          <w:bCs/>
        </w:rPr>
        <w:t>Au</w:t>
      </w:r>
      <w:r w:rsidR="009A4FE0">
        <w:rPr>
          <w:b/>
          <w:bCs/>
        </w:rPr>
        <w:t>-delà</w:t>
      </w:r>
      <w:r w:rsidR="0088135E">
        <w:rPr>
          <w:b/>
          <w:bCs/>
        </w:rPr>
        <w:t xml:space="preserve"> des interrogations sur les raisons de cette </w:t>
      </w:r>
      <w:r w:rsidR="0077559E">
        <w:rPr>
          <w:b/>
          <w:bCs/>
        </w:rPr>
        <w:t>annulation</w:t>
      </w:r>
      <w:r w:rsidR="0088135E">
        <w:rPr>
          <w:b/>
          <w:bCs/>
        </w:rPr>
        <w:t>, possiblement liée à la crainte d’actions judiciaires, c</w:t>
      </w:r>
      <w:r w:rsidR="002C4D4A">
        <w:rPr>
          <w:b/>
          <w:bCs/>
        </w:rPr>
        <w:t xml:space="preserve">ette occasion manquée de demander l’arrestation en France de </w:t>
      </w:r>
      <w:proofErr w:type="spellStart"/>
      <w:r w:rsidR="002C4D4A">
        <w:rPr>
          <w:b/>
          <w:bCs/>
        </w:rPr>
        <w:t>Bezalel</w:t>
      </w:r>
      <w:proofErr w:type="spellEnd"/>
      <w:r w:rsidR="002C4D4A">
        <w:rPr>
          <w:b/>
          <w:bCs/>
        </w:rPr>
        <w:t xml:space="preserve"> </w:t>
      </w:r>
      <w:proofErr w:type="spellStart"/>
      <w:r w:rsidR="002C4D4A">
        <w:rPr>
          <w:b/>
          <w:bCs/>
        </w:rPr>
        <w:t>Smotrich</w:t>
      </w:r>
      <w:proofErr w:type="spellEnd"/>
      <w:r w:rsidR="002C4D4A">
        <w:rPr>
          <w:b/>
          <w:bCs/>
        </w:rPr>
        <w:t xml:space="preserve"> </w:t>
      </w:r>
      <w:r w:rsidR="000C0018">
        <w:rPr>
          <w:b/>
          <w:bCs/>
        </w:rPr>
        <w:t>ne doit pas occulter l’importance de l</w:t>
      </w:r>
      <w:r w:rsidR="002C4D4A">
        <w:rPr>
          <w:b/>
          <w:bCs/>
        </w:rPr>
        <w:t xml:space="preserve">a lutte contre l’impunité </w:t>
      </w:r>
      <w:r w:rsidR="000C0018">
        <w:rPr>
          <w:b/>
          <w:bCs/>
        </w:rPr>
        <w:t xml:space="preserve">des crimes commis à Gaza. </w:t>
      </w:r>
    </w:p>
    <w:p w14:paraId="649F7FDB" w14:textId="77777777" w:rsidR="00D73330" w:rsidRDefault="00D73330"/>
    <w:p w14:paraId="55F8E52D" w14:textId="5B31A721" w:rsidR="00D73330" w:rsidRDefault="00000000" w:rsidP="00B368B1">
      <w:pPr>
        <w:jc w:val="both"/>
      </w:pPr>
      <w:r>
        <w:rPr>
          <w:b/>
          <w:bCs/>
        </w:rPr>
        <w:t>Paris, le 1</w:t>
      </w:r>
      <w:r w:rsidR="000C0018">
        <w:rPr>
          <w:b/>
          <w:bCs/>
        </w:rPr>
        <w:t>2</w:t>
      </w:r>
      <w:r>
        <w:rPr>
          <w:b/>
          <w:bCs/>
        </w:rPr>
        <w:t xml:space="preserve"> novembre 2024 - </w:t>
      </w:r>
      <w:r>
        <w:t xml:space="preserve">Une plainte pour complicité de torture était prête à être déposée </w:t>
      </w:r>
      <w:r w:rsidR="000C0018">
        <w:t>par la FIDH, Al</w:t>
      </w:r>
      <w:r w:rsidR="009A4FE0">
        <w:t>-</w:t>
      </w:r>
      <w:r w:rsidR="000C0018">
        <w:t xml:space="preserve">Haq, Al </w:t>
      </w:r>
      <w:proofErr w:type="spellStart"/>
      <w:r w:rsidR="000C0018">
        <w:t>Mezan</w:t>
      </w:r>
      <w:proofErr w:type="spellEnd"/>
      <w:r w:rsidR="000C0018">
        <w:t xml:space="preserve">, PCHR et la LDH </w:t>
      </w:r>
      <w:r>
        <w:t xml:space="preserve">devant le Parquet du pôle crimes contre l’humanité à l’encontre de </w:t>
      </w:r>
      <w:proofErr w:type="spellStart"/>
      <w:r>
        <w:rPr>
          <w:rStyle w:val="lev"/>
        </w:rPr>
        <w:t>Bezalel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Smotrich</w:t>
      </w:r>
      <w:proofErr w:type="spellEnd"/>
      <w:r>
        <w:t>. La présence du ministre israélien était attendue en France, où il prévoyait d’assister au gala organisé à Paris par l’association</w:t>
      </w:r>
      <w:r>
        <w:rPr>
          <w:rStyle w:val="lev"/>
        </w:rPr>
        <w:t xml:space="preserve"> Israël </w:t>
      </w:r>
      <w:proofErr w:type="spellStart"/>
      <w:r>
        <w:rPr>
          <w:rStyle w:val="lev"/>
        </w:rPr>
        <w:t>is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Forever</w:t>
      </w:r>
      <w:proofErr w:type="spellEnd"/>
      <w:r>
        <w:t>. Une association connue pour ses liens avec l’extrême droite israélienne et avec les mouvements de colons israéliens radicaux.</w:t>
      </w:r>
    </w:p>
    <w:p w14:paraId="487CC969" w14:textId="77777777" w:rsidR="00D73330" w:rsidRDefault="00D73330"/>
    <w:p w14:paraId="7647A7B8" w14:textId="3A7A90AB" w:rsidR="00D73330" w:rsidRDefault="00000000" w:rsidP="00B368B1">
      <w:pPr>
        <w:pStyle w:val="Corpsdetexte"/>
        <w:jc w:val="both"/>
      </w:pPr>
      <w:r>
        <w:t xml:space="preserve">Seul fondement juridique permettant de déposer une plainte selon le mécanisme de compétence universelle contre un suspect présent en France, </w:t>
      </w:r>
      <w:r>
        <w:rPr>
          <w:rStyle w:val="lev"/>
        </w:rPr>
        <w:t>le crime de torture correspond parfaitement à chaque aspect de la vie quotidienne de la population de Gaza</w:t>
      </w:r>
      <w:r w:rsidR="009A4FE0">
        <w:rPr>
          <w:rStyle w:val="lev"/>
        </w:rPr>
        <w:t>, victime d’une campagne génocidaire menée par Israël</w:t>
      </w:r>
      <w:r>
        <w:t xml:space="preserve"> depuis le 7 octobre 2023.</w:t>
      </w:r>
    </w:p>
    <w:p w14:paraId="35FA313C" w14:textId="29D1D3EF" w:rsidR="00D73330" w:rsidRDefault="00B368B1" w:rsidP="00B368B1">
      <w:pPr>
        <w:pStyle w:val="Corpsdetexte"/>
        <w:jc w:val="both"/>
      </w:pPr>
      <w:r>
        <w:t>Depuis cette date</w:t>
      </w:r>
      <w:r w:rsidR="00000000">
        <w:t xml:space="preserve">, Israël a en effet mené des bombardements et des attaques incessantes depuis la terre, l’air et la mer. Israël a imposé des déplacements massifs et a privé 2,3 millions de </w:t>
      </w:r>
      <w:proofErr w:type="spellStart"/>
      <w:r w:rsidR="00000000">
        <w:t>Palestinien·nes</w:t>
      </w:r>
      <w:proofErr w:type="spellEnd"/>
      <w:r w:rsidR="00000000">
        <w:t xml:space="preserve"> de Gaza de soins médicaux, d’aide humanitaire et de nourriture, ce qui a provoqué une famine : des faits qui constituent des actes de torture collective. La plainte préparée décr</w:t>
      </w:r>
      <w:r w:rsidR="007B79C7">
        <w:t>i</w:t>
      </w:r>
      <w:r w:rsidR="00000000">
        <w:t xml:space="preserve">vait également un schéma persistant dans lequel des milliers de </w:t>
      </w:r>
      <w:proofErr w:type="spellStart"/>
      <w:r w:rsidR="00000000">
        <w:t>Palestinien·nes</w:t>
      </w:r>
      <w:proofErr w:type="spellEnd"/>
      <w:r w:rsidR="00000000">
        <w:t xml:space="preserve"> ont été </w:t>
      </w:r>
      <w:proofErr w:type="spellStart"/>
      <w:r w:rsidR="00000000">
        <w:t>enlevé·es</w:t>
      </w:r>
      <w:proofErr w:type="spellEnd"/>
      <w:r w:rsidR="00000000">
        <w:t xml:space="preserve"> de Gaza et </w:t>
      </w:r>
      <w:proofErr w:type="spellStart"/>
      <w:r w:rsidR="00000000">
        <w:t>placé·es</w:t>
      </w:r>
      <w:proofErr w:type="spellEnd"/>
      <w:r w:rsidR="00000000">
        <w:t xml:space="preserve"> dans des prisons israéliennes et des camps de détention militaire, où ils/elles ont été </w:t>
      </w:r>
      <w:proofErr w:type="spellStart"/>
      <w:r w:rsidR="00000000">
        <w:t>soumis·es</w:t>
      </w:r>
      <w:proofErr w:type="spellEnd"/>
      <w:r w:rsidR="00000000">
        <w:t xml:space="preserve"> à des actes de torture systématiques, bien documentés. Enfin, la plainte demandait à la justice française d’ouvrir une enquête judiciaire et d’arrêter immédiatement </w:t>
      </w:r>
      <w:proofErr w:type="spellStart"/>
      <w:r w:rsidR="00000000">
        <w:t>Bezalel</w:t>
      </w:r>
      <w:proofErr w:type="spellEnd"/>
      <w:r w:rsidR="00000000">
        <w:t xml:space="preserve"> </w:t>
      </w:r>
      <w:proofErr w:type="spellStart"/>
      <w:r w:rsidR="00000000">
        <w:t>Smotrich</w:t>
      </w:r>
      <w:proofErr w:type="spellEnd"/>
      <w:r w:rsidR="00000000">
        <w:t xml:space="preserve"> pour complicité de torture.</w:t>
      </w:r>
    </w:p>
    <w:p w14:paraId="2D93A0C9" w14:textId="3A9F515D" w:rsidR="007B79C7" w:rsidRDefault="007B79C7" w:rsidP="00B368B1">
      <w:pPr>
        <w:pStyle w:val="Corpsdetexte"/>
        <w:jc w:val="both"/>
      </w:pPr>
      <w:r>
        <w:t>« </w:t>
      </w:r>
      <w:r w:rsidRPr="000C0018">
        <w:rPr>
          <w:i/>
          <w:iCs/>
        </w:rPr>
        <w:t xml:space="preserve">Les dirigeants israéliens doivent prendre conscience que le temps de la justice et de la redevabilité </w:t>
      </w:r>
      <w:r w:rsidR="002C4D4A" w:rsidRPr="000C0018">
        <w:rPr>
          <w:i/>
          <w:iCs/>
        </w:rPr>
        <w:t>est venu</w:t>
      </w:r>
      <w:r w:rsidRPr="000C0018">
        <w:rPr>
          <w:i/>
          <w:iCs/>
        </w:rPr>
        <w:t>, et qu’ils ne seront pas éternellement à l’abri de poursuites judiciaires visant à faire la lumière sur leur</w:t>
      </w:r>
      <w:r w:rsidR="000C0018" w:rsidRPr="000C0018">
        <w:rPr>
          <w:i/>
          <w:iCs/>
        </w:rPr>
        <w:t>s</w:t>
      </w:r>
      <w:r w:rsidRPr="000C0018">
        <w:rPr>
          <w:i/>
          <w:iCs/>
        </w:rPr>
        <w:t xml:space="preserve"> responsabilité</w:t>
      </w:r>
      <w:r w:rsidR="000C0018" w:rsidRPr="000C0018">
        <w:rPr>
          <w:i/>
          <w:iCs/>
        </w:rPr>
        <w:t>s</w:t>
      </w:r>
      <w:r w:rsidRPr="000C0018">
        <w:rPr>
          <w:i/>
          <w:iCs/>
        </w:rPr>
        <w:t xml:space="preserve"> dans</w:t>
      </w:r>
      <w:r w:rsidR="000C0018">
        <w:rPr>
          <w:i/>
          <w:iCs/>
        </w:rPr>
        <w:t xml:space="preserve"> </w:t>
      </w:r>
      <w:r w:rsidRPr="000C0018">
        <w:rPr>
          <w:i/>
          <w:iCs/>
        </w:rPr>
        <w:t xml:space="preserve">les crimes perpétrés à l’encontre des </w:t>
      </w:r>
      <w:proofErr w:type="spellStart"/>
      <w:r w:rsidRPr="000C0018">
        <w:rPr>
          <w:i/>
          <w:iCs/>
        </w:rPr>
        <w:t>Palestinien</w:t>
      </w:r>
      <w:r w:rsidR="000C0018">
        <w:rPr>
          <w:i/>
          <w:iCs/>
        </w:rPr>
        <w:t>.ne</w:t>
      </w:r>
      <w:r w:rsidRPr="000C0018">
        <w:rPr>
          <w:i/>
          <w:iCs/>
        </w:rPr>
        <w:t>s</w:t>
      </w:r>
      <w:proofErr w:type="spellEnd"/>
      <w:r w:rsidRPr="000C0018">
        <w:rPr>
          <w:i/>
          <w:iCs/>
        </w:rPr>
        <w:t xml:space="preserve"> à Gaza </w:t>
      </w:r>
      <w:r>
        <w:t>»</w:t>
      </w:r>
      <w:r w:rsidR="002C4D4A">
        <w:t xml:space="preserve"> ont déclaré nos organisations. « </w:t>
      </w:r>
      <w:r w:rsidR="002C4D4A" w:rsidRPr="000C0018">
        <w:rPr>
          <w:i/>
          <w:iCs/>
        </w:rPr>
        <w:t xml:space="preserve">La justice et la lutte contre l’impunité des auteurs de génocide, crimes </w:t>
      </w:r>
      <w:r w:rsidR="002C4D4A" w:rsidRPr="000C0018">
        <w:rPr>
          <w:i/>
          <w:iCs/>
        </w:rPr>
        <w:lastRenderedPageBreak/>
        <w:t>contre l’humanité</w:t>
      </w:r>
      <w:r w:rsidR="000C0018">
        <w:rPr>
          <w:i/>
          <w:iCs/>
        </w:rPr>
        <w:t>,</w:t>
      </w:r>
      <w:r w:rsidR="002C4D4A" w:rsidRPr="000C0018">
        <w:rPr>
          <w:i/>
          <w:iCs/>
        </w:rPr>
        <w:t xml:space="preserve"> crimes de guerre</w:t>
      </w:r>
      <w:r w:rsidR="000C0018">
        <w:rPr>
          <w:i/>
          <w:iCs/>
        </w:rPr>
        <w:t xml:space="preserve">, tortures et disparitions forcées </w:t>
      </w:r>
      <w:r w:rsidR="002C4D4A" w:rsidRPr="000C0018">
        <w:rPr>
          <w:i/>
          <w:iCs/>
        </w:rPr>
        <w:t>commis à Gaza doivent être placé</w:t>
      </w:r>
      <w:r w:rsidR="000C0018">
        <w:rPr>
          <w:i/>
          <w:iCs/>
        </w:rPr>
        <w:t>e</w:t>
      </w:r>
      <w:r w:rsidR="002C4D4A" w:rsidRPr="000C0018">
        <w:rPr>
          <w:i/>
          <w:iCs/>
        </w:rPr>
        <w:t xml:space="preserve">s au </w:t>
      </w:r>
      <w:r w:rsidR="000C0018">
        <w:rPr>
          <w:i/>
          <w:iCs/>
        </w:rPr>
        <w:t>cœur</w:t>
      </w:r>
      <w:r w:rsidR="002C4D4A" w:rsidRPr="000C0018">
        <w:rPr>
          <w:i/>
          <w:iCs/>
        </w:rPr>
        <w:t xml:space="preserve"> de la réponse </w:t>
      </w:r>
      <w:r w:rsidR="009A4FE0">
        <w:rPr>
          <w:i/>
          <w:iCs/>
        </w:rPr>
        <w:t>aux crimes commis par les responsables israéliens contre le peuple palestinien.</w:t>
      </w:r>
      <w:r w:rsidR="002C4D4A" w:rsidRPr="000C0018">
        <w:rPr>
          <w:i/>
          <w:iCs/>
        </w:rPr>
        <w:t xml:space="preserve"> Des enquêtes judiciaires doivent être ouvertes, partout où cela est possible.</w:t>
      </w:r>
      <w:r w:rsidR="002C4D4A">
        <w:t xml:space="preserve"> » </w:t>
      </w:r>
    </w:p>
    <w:p w14:paraId="5A3F9A25" w14:textId="112BE236" w:rsidR="00D73330" w:rsidRDefault="00D73330">
      <w:pPr>
        <w:rPr>
          <w:i/>
          <w:iCs/>
        </w:rPr>
      </w:pPr>
    </w:p>
    <w:sectPr w:rsidR="00D7333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30"/>
    <w:rsid w:val="000C0018"/>
    <w:rsid w:val="002C4D4A"/>
    <w:rsid w:val="003E2448"/>
    <w:rsid w:val="0077559E"/>
    <w:rsid w:val="007B4883"/>
    <w:rsid w:val="007B79C7"/>
    <w:rsid w:val="0088135E"/>
    <w:rsid w:val="008A5CA6"/>
    <w:rsid w:val="009A4FE0"/>
    <w:rsid w:val="00A31CC9"/>
    <w:rsid w:val="00B368B1"/>
    <w:rsid w:val="00CE150E"/>
    <w:rsid w:val="00D7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7EE65"/>
  <w15:docId w15:val="{A5C34479-80EF-F94E-BA6C-1C09EE80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Pr>
      <w:b/>
      <w:b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re">
    <w:name w:val="Title"/>
    <w:basedOn w:val="Heading"/>
    <w:next w:val="Corpsdetexte"/>
    <w:uiPriority w:val="10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Lopoukhine</dc:creator>
  <dc:description/>
  <cp:lastModifiedBy>external</cp:lastModifiedBy>
  <cp:revision>3</cp:revision>
  <dcterms:created xsi:type="dcterms:W3CDTF">2024-11-12T11:46:00Z</dcterms:created>
  <dcterms:modified xsi:type="dcterms:W3CDTF">2024-11-12T12:56:00Z</dcterms:modified>
  <dc:language>fr-FR</dc:language>
</cp:coreProperties>
</file>